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извещению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регионального этапа Всероссийского конкурса 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муниципальная практика» в номинации 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</w:t>
      </w:r>
      <w:proofErr w:type="gramStart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proofErr w:type="gramEnd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«обратной связи» 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жителями муниципальных образований, 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территориального </w:t>
      </w:r>
      <w:proofErr w:type="gramStart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 привлечение граждан 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(участию в осуществлении) 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иных формах»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A8" w:rsidRPr="007729A8" w:rsidRDefault="007729A8" w:rsidP="007729A8">
      <w:pPr>
        <w:autoSpaceDE w:val="0"/>
        <w:autoSpaceDN w:val="0"/>
        <w:spacing w:after="36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ФОРМА ЗАЯВКИ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Федеральная конкурсная комиссия 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SimSun" w:hAnsi="Times New Roman" w:cs="Times New Roman"/>
          <w:sz w:val="28"/>
          <w:szCs w:val="28"/>
          <w:lang w:eastAsia="ru-RU"/>
        </w:rPr>
        <w:t>по организации и проведению Всероссийского конкурса</w:t>
      </w:r>
      <w:r w:rsidRPr="007729A8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«Лучшая муниципальная практика»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729A8" w:rsidRPr="007729A8" w:rsidRDefault="007729A8" w:rsidP="007729A8">
      <w:pPr>
        <w:autoSpaceDE w:val="0"/>
        <w:autoSpaceDN w:val="0"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КОНКУРСНАЯ ЗАЯВКА</w:t>
      </w:r>
    </w:p>
    <w:p w:rsidR="007729A8" w:rsidRPr="007729A8" w:rsidRDefault="007729A8" w:rsidP="007729A8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муниципального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0"/>
        <w:gridCol w:w="170"/>
      </w:tblGrid>
      <w:tr w:rsidR="007729A8" w:rsidRPr="007729A8" w:rsidTr="00780E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</w:tr>
      <w:tr w:rsidR="007729A8" w:rsidRPr="007729A8" w:rsidTr="00780E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 xml:space="preserve">(наименование муниципального образования </w:t>
            </w:r>
            <w:r w:rsidRPr="007729A8">
              <w:rPr>
                <w:rFonts w:ascii="Times New Roman" w:eastAsia="SimSun" w:hAnsi="Times New Roman" w:cs="Times New Roman"/>
                <w:vertAlign w:val="superscript"/>
                <w:lang w:eastAsia="zh-CN"/>
              </w:rPr>
              <w:footnoteReference w:customMarkFollows="1" w:id="1"/>
              <w:t>1</w:t>
            </w: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7729A8" w:rsidRPr="007729A8" w:rsidRDefault="007729A8" w:rsidP="007729A8">
      <w:pPr>
        <w:autoSpaceDE w:val="0"/>
        <w:autoSpaceDN w:val="0"/>
        <w:spacing w:after="36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для участия во Всероссийском конкурсе «Лучшая муниципальная практика» по 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 осуществлении) местного самоуправления в иных формах»</w:t>
      </w:r>
      <w:r w:rsidRPr="007729A8">
        <w:rPr>
          <w:rFonts w:ascii="Times New Roman" w:eastAsia="SimSun" w:hAnsi="Times New Roman" w:cs="Times New Roman"/>
          <w:b/>
          <w:bCs/>
          <w:sz w:val="26"/>
          <w:szCs w:val="26"/>
          <w:vertAlign w:val="superscript"/>
          <w:lang w:eastAsia="zh-CN"/>
        </w:rPr>
        <w:footnoteReference w:customMarkFollows="1" w:id="2"/>
        <w:t>2</w:t>
      </w:r>
    </w:p>
    <w:p w:rsidR="007729A8" w:rsidRPr="007729A8" w:rsidRDefault="007729A8" w:rsidP="007729A8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Прошу организовать рассмотрение настоящей конкурсной заявки для участия во Всероссийском конкурсе «Лучшая муниципальная практика».</w:t>
      </w:r>
    </w:p>
    <w:p w:rsidR="007729A8" w:rsidRPr="007729A8" w:rsidRDefault="007729A8" w:rsidP="007729A8">
      <w:pPr>
        <w:autoSpaceDE w:val="0"/>
        <w:autoSpaceDN w:val="0"/>
        <w:spacing w:after="0" w:line="360" w:lineRule="auto"/>
        <w:ind w:firstLine="56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 условиями и требованиями конкурсного отбора </w:t>
      </w:r>
      <w:proofErr w:type="gramStart"/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ознакомлен</w:t>
      </w:r>
      <w:proofErr w:type="gramEnd"/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 согласен.</w:t>
      </w:r>
    </w:p>
    <w:p w:rsidR="007729A8" w:rsidRPr="007729A8" w:rsidRDefault="007729A8" w:rsidP="007729A8">
      <w:pPr>
        <w:autoSpaceDE w:val="0"/>
        <w:autoSpaceDN w:val="0"/>
        <w:spacing w:after="0" w:line="240" w:lineRule="auto"/>
        <w:ind w:left="56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вопросам участия прошу взаимодействовать </w:t>
      </w:r>
      <w:proofErr w:type="gramStart"/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с</w:t>
      </w:r>
      <w:proofErr w:type="gramEnd"/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</w:p>
    <w:p w:rsidR="007729A8" w:rsidRPr="007729A8" w:rsidRDefault="007729A8" w:rsidP="007729A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197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proofErr w:type="gramStart"/>
      <w:r w:rsidRPr="007729A8">
        <w:rPr>
          <w:rFonts w:ascii="Times New Roman" w:eastAsia="SimSun" w:hAnsi="Times New Roman" w:cs="Times New Roman"/>
          <w:i/>
          <w:iCs/>
          <w:lang w:eastAsia="zh-CN"/>
        </w:rPr>
        <w:t>(фамилия, имя и отчество</w:t>
      </w:r>
      <w:proofErr w:type="gramEnd"/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729A8" w:rsidRPr="007729A8" w:rsidRDefault="007729A8" w:rsidP="007729A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7729A8">
        <w:rPr>
          <w:rFonts w:ascii="Times New Roman" w:eastAsia="SimSun" w:hAnsi="Times New Roman" w:cs="Times New Roman"/>
          <w:i/>
          <w:iCs/>
          <w:lang w:eastAsia="zh-CN"/>
        </w:rPr>
        <w:t>(при наличии), должность контактного лица, его номер телефона и адрес электронной почты)</w:t>
      </w:r>
    </w:p>
    <w:p w:rsidR="007729A8" w:rsidRPr="007729A8" w:rsidRDefault="007729A8" w:rsidP="007729A8">
      <w:pPr>
        <w:autoSpaceDE w:val="0"/>
        <w:autoSpaceDN w:val="0"/>
        <w:spacing w:after="240" w:line="36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Достоверность (действительность) сведений, указанных в настоящей конкурсной заявке, гарантирую.</w:t>
      </w:r>
    </w:p>
    <w:p w:rsidR="007729A8" w:rsidRPr="007729A8" w:rsidRDefault="007729A8" w:rsidP="007729A8">
      <w:pPr>
        <w:tabs>
          <w:tab w:val="left" w:pos="1701"/>
          <w:tab w:val="left" w:pos="2127"/>
        </w:tabs>
        <w:autoSpaceDE w:val="0"/>
        <w:autoSpaceDN w:val="0"/>
        <w:spacing w:after="0" w:line="240" w:lineRule="auto"/>
        <w:ind w:left="1701" w:hanging="1701"/>
        <w:jc w:val="both"/>
        <w:rPr>
          <w:rFonts w:ascii="Times New Roman" w:eastAsia="SimSun" w:hAnsi="Times New Roman" w:cs="Times New Roman"/>
          <w:sz w:val="2"/>
          <w:szCs w:val="2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Приложение:</w:t>
      </w: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1.</w:t>
      </w: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Сведения о значениях показателей для  оценки  конкурсной заявки </w:t>
      </w:r>
      <w:r w:rsidRPr="007729A8">
        <w:rPr>
          <w:rFonts w:ascii="Times New Roman" w:eastAsia="SimSun" w:hAnsi="Times New Roman" w:cs="Times New Roman"/>
          <w:sz w:val="26"/>
          <w:szCs w:val="26"/>
          <w:vertAlign w:val="superscript"/>
          <w:lang w:eastAsia="zh-CN"/>
        </w:rPr>
        <w:footnoteReference w:customMarkFollows="1" w:id="3"/>
        <w:t>3</w:t>
      </w: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</w:p>
    <w:tbl>
      <w:tblPr>
        <w:tblW w:w="0" w:type="auto"/>
        <w:tblInd w:w="2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1190"/>
      </w:tblGrid>
      <w:tr w:rsidR="007729A8" w:rsidRPr="007729A8" w:rsidTr="00780E9B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л. в 1 экз.</w:t>
            </w:r>
          </w:p>
        </w:tc>
      </w:tr>
    </w:tbl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"/>
          <w:szCs w:val="2"/>
          <w:lang w:eastAsia="zh-CN"/>
        </w:rPr>
      </w:pPr>
    </w:p>
    <w:tbl>
      <w:tblPr>
        <w:tblW w:w="0" w:type="auto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454"/>
        <w:gridCol w:w="1190"/>
      </w:tblGrid>
      <w:tr w:rsidR="007729A8" w:rsidRPr="007729A8" w:rsidTr="00780E9B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2.</w:t>
            </w: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ab/>
              <w:t xml:space="preserve">Презентация конкурсной заявки </w:t>
            </w:r>
            <w:r w:rsidRPr="007729A8">
              <w:rPr>
                <w:rFonts w:ascii="Times New Roman" w:eastAsia="SimSun" w:hAnsi="Times New Roman" w:cs="Times New Roman"/>
                <w:sz w:val="26"/>
                <w:szCs w:val="26"/>
                <w:vertAlign w:val="superscript"/>
                <w:lang w:eastAsia="zh-CN"/>
              </w:rPr>
              <w:footnoteReference w:customMarkFollows="1" w:id="4"/>
              <w:t>4</w:t>
            </w: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л. в 1 экз.</w:t>
            </w:r>
          </w:p>
        </w:tc>
      </w:tr>
    </w:tbl>
    <w:p w:rsidR="007729A8" w:rsidRPr="007729A8" w:rsidRDefault="007729A8" w:rsidP="007729A8">
      <w:pPr>
        <w:autoSpaceDE w:val="0"/>
        <w:autoSpaceDN w:val="0"/>
        <w:spacing w:before="720" w:after="0" w:line="240" w:lineRule="auto"/>
        <w:ind w:right="5954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Глава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856"/>
        <w:gridCol w:w="198"/>
        <w:gridCol w:w="2608"/>
        <w:gridCol w:w="3402"/>
      </w:tblGrid>
      <w:tr w:rsidR="007729A8" w:rsidRPr="007729A8" w:rsidTr="00780E9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729A8" w:rsidRPr="007729A8" w:rsidTr="00780E9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(наименование муниципального образования)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Расшифровка подписи</w:t>
            </w:r>
          </w:p>
        </w:tc>
      </w:tr>
    </w:tbl>
    <w:p w:rsidR="007729A8" w:rsidRPr="007729A8" w:rsidRDefault="007729A8" w:rsidP="007729A8">
      <w:pPr>
        <w:autoSpaceDE w:val="0"/>
        <w:autoSpaceDN w:val="0"/>
        <w:spacing w:before="960" w:after="0" w:line="240" w:lineRule="auto"/>
        <w:ind w:right="6237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729A8">
        <w:rPr>
          <w:rFonts w:ascii="Times New Roman" w:eastAsia="SimSun" w:hAnsi="Times New Roman" w:cs="Times New Roman"/>
          <w:sz w:val="26"/>
          <w:szCs w:val="26"/>
          <w:lang w:eastAsia="zh-CN"/>
        </w:rPr>
        <w:t>СОГЛАСОВАНО</w:t>
      </w:r>
    </w:p>
    <w:p w:rsidR="007729A8" w:rsidRPr="007729A8" w:rsidRDefault="007729A8" w:rsidP="007729A8">
      <w:pPr>
        <w:autoSpaceDE w:val="0"/>
        <w:autoSpaceDN w:val="0"/>
        <w:spacing w:after="0" w:line="240" w:lineRule="auto"/>
        <w:ind w:right="6236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729A8" w:rsidRPr="007729A8" w:rsidRDefault="007729A8" w:rsidP="00772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237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proofErr w:type="gramStart"/>
      <w:r w:rsidRPr="007729A8">
        <w:rPr>
          <w:rFonts w:ascii="Times New Roman" w:eastAsia="SimSun" w:hAnsi="Times New Roman" w:cs="Times New Roman"/>
          <w:i/>
          <w:iCs/>
          <w:lang w:eastAsia="zh-CN"/>
        </w:rPr>
        <w:t>(наименование должности</w:t>
      </w:r>
      <w:proofErr w:type="gramEnd"/>
    </w:p>
    <w:p w:rsidR="007729A8" w:rsidRPr="007729A8" w:rsidRDefault="007729A8" w:rsidP="007729A8">
      <w:pPr>
        <w:autoSpaceDE w:val="0"/>
        <w:autoSpaceDN w:val="0"/>
        <w:spacing w:after="0" w:line="240" w:lineRule="auto"/>
        <w:ind w:right="623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237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7729A8">
        <w:rPr>
          <w:rFonts w:ascii="Times New Roman" w:eastAsia="SimSun" w:hAnsi="Times New Roman" w:cs="Times New Roman"/>
          <w:i/>
          <w:iCs/>
          <w:lang w:eastAsia="zh-CN"/>
        </w:rPr>
        <w:t>визирующего должностного лица)</w:t>
      </w:r>
      <w:r w:rsidRPr="007729A8">
        <w:rPr>
          <w:rFonts w:ascii="Times New Roman" w:eastAsia="SimSun" w:hAnsi="Times New Roman" w:cs="Times New Roman"/>
          <w:vertAlign w:val="superscript"/>
          <w:lang w:eastAsia="zh-CN"/>
        </w:rPr>
        <w:footnoteReference w:customMarkFollows="1" w:id="5"/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92"/>
      </w:tblGrid>
      <w:tr w:rsidR="007729A8" w:rsidRPr="007729A8" w:rsidTr="00780E9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729A8" w:rsidRPr="007729A8" w:rsidTr="00780E9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Подпись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729A8" w:rsidRPr="007729A8" w:rsidRDefault="007729A8" w:rsidP="007729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t>Расшифровка</w:t>
            </w:r>
            <w:r w:rsidRPr="007729A8">
              <w:rPr>
                <w:rFonts w:ascii="Times New Roman" w:eastAsia="SimSun" w:hAnsi="Times New Roman" w:cs="Times New Roman"/>
                <w:i/>
                <w:iCs/>
                <w:lang w:eastAsia="zh-CN"/>
              </w:rPr>
              <w:br/>
              <w:t>подписи</w:t>
            </w:r>
          </w:p>
        </w:tc>
      </w:tr>
    </w:tbl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форме конкурсной заявки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представляемой для участия</w:t>
      </w:r>
      <w:proofErr w:type="gramEnd"/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Всероссийском конкурсе «</w:t>
      </w:r>
      <w:proofErr w:type="gramStart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практика» по номинации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</w:t>
      </w:r>
      <w:proofErr w:type="gramStart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proofErr w:type="gramEnd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«обратной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связи» с жителями </w:t>
      </w:r>
      <w:proofErr w:type="gramStart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развитие территориального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привлечение граждан к осуществлению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(участию в осуществлении) местного</w:t>
      </w:r>
    </w:p>
    <w:p w:rsidR="007729A8" w:rsidRPr="007729A8" w:rsidRDefault="007729A8" w:rsidP="0077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иных формах»</w:t>
      </w: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729A8" w:rsidRPr="007729A8" w:rsidTr="00780E9B">
        <w:trPr>
          <w:jc w:val="center"/>
        </w:trPr>
        <w:tc>
          <w:tcPr>
            <w:tcW w:w="1457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значениях показателей для оценки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заявки муниципального образования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«_____________________________________________________»,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представляемой для участия во Всероссийском конкурсе «</w:t>
      </w:r>
      <w:proofErr w:type="gramStart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практика» по номинации «Обеспечение эффективной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  <w:proofErr w:type="gramEnd"/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связи» с жителями муниципальных образований, развитие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 и привлечение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к осуществлению (участию в осуществлении) местного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иных формах»</w:t>
      </w:r>
    </w:p>
    <w:p w:rsidR="007729A8" w:rsidRPr="007729A8" w:rsidRDefault="007729A8" w:rsidP="007729A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99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2127"/>
        <w:gridCol w:w="2960"/>
        <w:gridCol w:w="2426"/>
        <w:gridCol w:w="1418"/>
      </w:tblGrid>
      <w:tr w:rsidR="007729A8" w:rsidRPr="007729A8" w:rsidTr="00780E9B">
        <w:trPr>
          <w:trHeight w:val="485"/>
        </w:trPr>
        <w:tc>
          <w:tcPr>
            <w:tcW w:w="1060" w:type="dxa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27" w:type="dxa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804" w:type="dxa"/>
            <w:gridSpan w:val="3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и исходные данные для его расчета</w:t>
            </w:r>
          </w:p>
        </w:tc>
      </w:tr>
      <w:tr w:rsidR="007729A8" w:rsidRPr="007729A8" w:rsidTr="00780E9B">
        <w:tc>
          <w:tcPr>
            <w:tcW w:w="1060" w:type="dxa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3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29A8" w:rsidRPr="007729A8" w:rsidTr="00780E9B">
        <w:tc>
          <w:tcPr>
            <w:tcW w:w="1060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местных референдумов (единиц)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772920" cy="469265"/>
                  <wp:effectExtent l="0" t="0" r="0" b="6985"/>
                  <wp:docPr id="15" name="Рисунок 15" descr="base_1_2973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973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 - общее количество местных референдумов, проведенных в муниципальном образовании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участников i-того местного референдума, состоявшегося в отчетном году (человек),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m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(человек),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1418" w:type="dxa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1418" w:type="dxa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m</w:t>
            </w:r>
          </w:p>
        </w:tc>
        <w:tc>
          <w:tcPr>
            <w:tcW w:w="1418" w:type="dxa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2"/>
                <w:sz w:val="24"/>
                <w:szCs w:val="24"/>
                <w:lang w:eastAsia="ru-RU"/>
              </w:rPr>
              <w:drawing>
                <wp:inline distT="0" distB="0" distL="0" distR="0">
                  <wp:extent cx="1590040" cy="429260"/>
                  <wp:effectExtent l="0" t="0" r="0" b="8890"/>
                  <wp:docPr id="14" name="Рисунок 14" descr="base_1_29735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9735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>
              <w:rPr>
                <w:rFonts w:ascii="Times New Roman" w:eastAsia="Calibri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74625" cy="222885"/>
                  <wp:effectExtent l="0" t="0" r="0" b="5715"/>
                  <wp:docPr id="13" name="Рисунок 13" descr="base_1_29735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9735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установленной численности депутатов представительного органа муниципального образования (человек)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повседневной 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гражданской активности в муниципальном образовании (единиц)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96360" cy="501015"/>
                  <wp:effectExtent l="0" t="0" r="8890" b="0"/>
                  <wp:docPr id="12" name="Рисунок 12" descr="base_1_297356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297356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3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 -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численность жителей, принявших участие в i-том сходе (человек),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a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 - общее количество собраний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f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численность жителей, принявших участие в f-том собрании (человек),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 = 1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 = &lt;...&gt;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 = b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 - общее количество конференций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k</w:t>
            </w:r>
            <w:proofErr w:type="spellEnd"/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численность жителей, принявших участие в k-той конференции (человек), для: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 = 1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 = &lt;...&gt;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 = c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 -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s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численность жителей, принявших участие в s-ом опросе граждан в отчетном году (человек),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 = 1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 = &lt;...&gt;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 = d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 - число старост, общественных контролеров, членов комитетов (руководящих органов) 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 - численность граждан, обратившихся в органы местного самоуправления в отчетном году (человек)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Нср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2"/>
                <w:sz w:val="24"/>
                <w:szCs w:val="24"/>
                <w:lang w:eastAsia="ru-RU"/>
              </w:rPr>
              <w:drawing>
                <wp:inline distT="0" distB="0" distL="0" distR="0">
                  <wp:extent cx="1176655" cy="429260"/>
                  <wp:effectExtent l="0" t="0" r="0" b="8890"/>
                  <wp:docPr id="11" name="Рисунок 11" descr="base_1_297356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297356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численность населения, зарегистрированного по месту жительства в 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границах муниципального образования (человек), по состоянию на 1 января отчетного года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x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+1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текущего года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2"/>
                <w:sz w:val="24"/>
                <w:szCs w:val="24"/>
                <w:lang w:eastAsia="ru-RU"/>
              </w:rPr>
              <w:drawing>
                <wp:inline distT="0" distB="0" distL="0" distR="0">
                  <wp:extent cx="1820545" cy="429260"/>
                  <wp:effectExtent l="0" t="0" r="8255" b="8890"/>
                  <wp:docPr id="10" name="Рисунок 10" descr="base_1_297356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297356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Нтос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- численность населения, зарегистрированного по месту жительства (по состоянию на 1 января текущего года), в границах муниципального образования (человек)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2"/>
                <w:sz w:val="24"/>
                <w:szCs w:val="24"/>
                <w:lang w:eastAsia="ru-RU"/>
              </w:rPr>
              <w:drawing>
                <wp:inline distT="0" distB="0" distL="0" distR="0">
                  <wp:extent cx="1844675" cy="429260"/>
                  <wp:effectExtent l="0" t="0" r="0" b="8890"/>
                  <wp:docPr id="9" name="Рисунок 9" descr="base_1_297356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297356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Мтос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- объем собственных доходов местного бюджета в отчетном году (рублей)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7"/>
                <w:sz w:val="24"/>
                <w:szCs w:val="24"/>
                <w:lang w:eastAsia="ru-RU"/>
              </w:rPr>
              <w:drawing>
                <wp:inline distT="0" distB="0" distL="0" distR="0">
                  <wp:extent cx="1661795" cy="492760"/>
                  <wp:effectExtent l="0" t="0" r="0" b="2540"/>
                  <wp:docPr id="8" name="Рисунок 8" descr="base_1_297356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297356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- общее количество правотворческих инициатив граждан, предложенных в порядке правотворческой инициативы группой граждан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проектов муниципальных правовых актов, оформленных и внесенных гражданами самостоятельно в органы местного самоуправления и (или) предложенных ими в ходе заседания представительного органа муниципального образования в рамках i-той правотворческой инициативы граждан, выдвинутой в отчетном году (единиц),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n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3"/>
                <w:sz w:val="24"/>
                <w:szCs w:val="24"/>
                <w:lang w:eastAsia="ru-RU"/>
              </w:rPr>
              <w:drawing>
                <wp:inline distT="0" distB="0" distL="0" distR="0">
                  <wp:extent cx="2417445" cy="437515"/>
                  <wp:effectExtent l="0" t="0" r="1905" b="635"/>
                  <wp:docPr id="7" name="Рисунок 7" descr="base_1_297356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297356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Зсо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7"/>
                <w:sz w:val="24"/>
                <w:szCs w:val="24"/>
                <w:lang w:eastAsia="ru-RU"/>
              </w:rPr>
              <w:drawing>
                <wp:inline distT="0" distB="0" distL="0" distR="0">
                  <wp:extent cx="1661795" cy="492760"/>
                  <wp:effectExtent l="0" t="0" r="0" b="2540"/>
                  <wp:docPr id="6" name="Рисунок 6" descr="base_1_297356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297356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- общее количество публичных слушаний, проведенных в муниципальном образовании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число участников i-</w:t>
            </w: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состоявшихся в отчетном году (человек),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N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главы муниципального образования 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5"/>
                <w:sz w:val="24"/>
                <w:szCs w:val="24"/>
                <w:lang w:eastAsia="ru-RU"/>
              </w:rPr>
              <w:drawing>
                <wp:inline distT="0" distB="0" distL="0" distR="0">
                  <wp:extent cx="1741170" cy="461010"/>
                  <wp:effectExtent l="0" t="0" r="0" b="0"/>
                  <wp:docPr id="5" name="Рисунок 5" descr="base_1_297356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297356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Пгл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публичных слушаний, состоявшихся в муниципальном образовании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встреч руководителей муниципального образования с жителями 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(за исключением публичных слушаний) (единиц на 1000 жителей)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24050" cy="461010"/>
                  <wp:effectExtent l="0" t="0" r="0" b="0"/>
                  <wp:docPr id="4" name="Рисунок 4" descr="base_1_297356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297356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сходов, собраний и конференций граждан, в которых приняли участие указанные должностные лица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 w:val="restart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7"/>
                <w:sz w:val="24"/>
                <w:szCs w:val="24"/>
                <w:lang w:eastAsia="ru-RU"/>
              </w:rPr>
              <w:drawing>
                <wp:inline distT="0" distB="0" distL="0" distR="0">
                  <wp:extent cx="2202815" cy="492760"/>
                  <wp:effectExtent l="0" t="0" r="6985" b="2540"/>
                  <wp:docPr id="3" name="Рисунок 3" descr="base_1_297356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297356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(например, оповещение о проведении публичных слушаний, 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порядок учета предложений по проекту муниципального правового акта о внесении изменений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дополнений в устав муниципального образования, извещение о закупке товара, работы, услуги для обеспечения муниципальных нужд), доставляемый (по подписке или иным способом) в поселение или городской округ (городской округ с внутригородским делением), участвующий во Всероссийском конкурсе «Лучшая муниципальная практика», в наблюдаемую неделю отчетного года (экземпляров),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729A8" w:rsidRPr="007729A8" w:rsidTr="00780E9B">
        <w:tc>
          <w:tcPr>
            <w:tcW w:w="1060" w:type="dxa"/>
            <w:vMerge w:val="restart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1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&lt;...&gt;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= G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Наблюдаемая неделя отчетного года, выбранная муниципальным образованием самостоятельно, дата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&lt;ДД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- ДД.ММ.ГГГГ&gt;</w:t>
            </w:r>
          </w:p>
        </w:tc>
      </w:tr>
      <w:tr w:rsidR="007729A8" w:rsidRPr="007729A8" w:rsidTr="00780E9B">
        <w:tc>
          <w:tcPr>
            <w:tcW w:w="1060" w:type="dxa"/>
            <w:vMerge w:val="restart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Эффективность официальных сайтов (единого портала) органов местного самоуправления в информационно-телекоммуникационной сети «Интернет» (единиц)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41"/>
                <w:sz w:val="24"/>
                <w:szCs w:val="24"/>
                <w:lang w:eastAsia="ru-RU"/>
              </w:rPr>
              <w:drawing>
                <wp:inline distT="0" distB="0" distL="0" distR="0">
                  <wp:extent cx="3283585" cy="659765"/>
                  <wp:effectExtent l="0" t="0" r="0" b="6985"/>
                  <wp:docPr id="2" name="Рисунок 2" descr="base_1_297356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297356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муниципальных правовых актов, принятых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письменных обращений граждан, поступивших в органы местного </w:t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по всем каналам (в электронном виде, с почтовым отправлением, переданные лично) в отчетном году (единиц)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654175" cy="469265"/>
                  <wp:effectExtent l="0" t="0" r="3175" b="6985"/>
                  <wp:docPr id="1" name="Рисунок 1" descr="base_1_297356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297356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9A8" w:rsidRPr="007729A8" w:rsidTr="00780E9B">
        <w:tblPrEx>
          <w:tblBorders>
            <w:insideH w:val="nil"/>
          </w:tblBorders>
        </w:tblPrEx>
        <w:tc>
          <w:tcPr>
            <w:tcW w:w="1060" w:type="dxa"/>
            <w:vMerge w:val="restart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Кдом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средний размер домохозяйства в Российской Федерации (принимается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</w:t>
            </w:r>
            <w:proofErr w:type="gramEnd"/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j</w:t>
            </w:r>
            <w:proofErr w:type="spellEnd"/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</w:t>
            </w:r>
            <w:proofErr w:type="spell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тый</w:t>
            </w:r>
            <w:proofErr w:type="spell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 (единиц), определяемая: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помощью бесплатного счетчика посещаемости или иного инструмента веб-аналитики </w:t>
            </w:r>
            <w:proofErr w:type="gramStart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&lt;указать используемый счетчик посещаемости или инструмент веб-аналитики&gt;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 = 1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 = &lt;...&gt;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righ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 = L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  <w:tr w:rsidR="007729A8" w:rsidRPr="007729A8" w:rsidTr="00780E9B">
        <w:tc>
          <w:tcPr>
            <w:tcW w:w="1060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729A8" w:rsidRPr="007729A8" w:rsidRDefault="007729A8" w:rsidP="0077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Y - продолжительность отчетного календарного года (дней)</w:t>
            </w:r>
          </w:p>
        </w:tc>
        <w:tc>
          <w:tcPr>
            <w:tcW w:w="1418" w:type="dxa"/>
            <w:vAlign w:val="center"/>
          </w:tcPr>
          <w:p w:rsidR="007729A8" w:rsidRPr="007729A8" w:rsidRDefault="007729A8" w:rsidP="007729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</w:tr>
    </w:tbl>
    <w:p w:rsidR="007729A8" w:rsidRPr="007729A8" w:rsidRDefault="007729A8" w:rsidP="007729A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«___________________________»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</w:t>
      </w:r>
      <w:proofErr w:type="gramEnd"/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образования)               (подпись)            Расшифровка подписи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СОГЛАСОВАНО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</w:t>
      </w:r>
      <w:proofErr w:type="gramEnd"/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визирующего должностного лица) </w:t>
      </w:r>
      <w:hyperlink w:anchor="P299" w:history="1">
        <w:r w:rsidRPr="007729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A8" w:rsidRPr="007729A8" w:rsidRDefault="007729A8" w:rsidP="007729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Расшифровка подписи</w:t>
      </w:r>
    </w:p>
    <w:p w:rsidR="007729A8" w:rsidRPr="007729A8" w:rsidRDefault="007729A8" w:rsidP="007729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</w:t>
      </w:r>
    </w:p>
    <w:p w:rsidR="007729A8" w:rsidRPr="007729A8" w:rsidRDefault="007729A8" w:rsidP="007729A8">
      <w:pPr>
        <w:widowControl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9A8">
        <w:rPr>
          <w:rFonts w:ascii="Times New Roman" w:eastAsia="Calibri" w:hAnsi="Times New Roman" w:cs="Times New Roman"/>
          <w:sz w:val="24"/>
          <w:szCs w:val="24"/>
          <w:lang w:eastAsia="ru-RU"/>
        </w:rPr>
        <w:t>&lt;1</w:t>
      </w:r>
      <w:proofErr w:type="gramStart"/>
      <w:r w:rsidRPr="007729A8">
        <w:rPr>
          <w:rFonts w:ascii="Times New Roman" w:eastAsia="Calibri" w:hAnsi="Times New Roman" w:cs="Times New Roman"/>
          <w:sz w:val="24"/>
          <w:szCs w:val="24"/>
          <w:lang w:eastAsia="ru-RU"/>
        </w:rPr>
        <w:t>&gt; З</w:t>
      </w:r>
      <w:proofErr w:type="gramEnd"/>
      <w:r w:rsidRPr="007729A8">
        <w:rPr>
          <w:rFonts w:ascii="Times New Roman" w:eastAsia="Calibri" w:hAnsi="Times New Roman" w:cs="Times New Roman"/>
          <w:sz w:val="24"/>
          <w:szCs w:val="24"/>
          <w:lang w:eastAsia="ru-RU"/>
        </w:rPr>
        <w:t>десь и далее вместо обозначения «&lt;...&gt;« указывается соответствующее значение.</w:t>
      </w:r>
    </w:p>
    <w:p w:rsidR="007729A8" w:rsidRPr="007729A8" w:rsidRDefault="007729A8" w:rsidP="007729A8">
      <w:pPr>
        <w:widowControl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299"/>
      <w:bookmarkEnd w:id="0"/>
      <w:r w:rsidRPr="007729A8">
        <w:rPr>
          <w:rFonts w:ascii="Times New Roman" w:eastAsia="Calibri" w:hAnsi="Times New Roman" w:cs="Times New Roman"/>
          <w:sz w:val="24"/>
          <w:szCs w:val="24"/>
          <w:lang w:eastAsia="ru-RU"/>
        </w:rPr>
        <w:t>&lt;2&gt;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Комиссию.</w:t>
      </w:r>
    </w:p>
    <w:p w:rsidR="007729A8" w:rsidRPr="007729A8" w:rsidRDefault="007729A8" w:rsidP="007729A8">
      <w:pPr>
        <w:widowControl w:val="0"/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72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конкурсная заявка направляется в Комиссию Ассоциацией «Единое общероссийское объединение муниципальных образований (Конгресс)» или Общероссийской общественной организацией «Всероссийский Совет местного самоуправления» в порядке, предусмотренном </w:t>
      </w:r>
      <w:hyperlink r:id="rId22" w:history="1">
        <w:r w:rsidRPr="007729A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8</w:t>
        </w:r>
      </w:hyperlink>
      <w:r w:rsidRPr="00772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о Всероссийском конкурсе «Лучшая муниципальная практика», утвержденного постановлением Правительства Российской Федерации от 18 августа 2016 г. N 815, сведения о значениях показателей для оценки конкурсной заявки муниципального образования визируются должностным лицом</w:t>
      </w:r>
      <w:proofErr w:type="gramEnd"/>
      <w:r w:rsidRPr="00772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указанной некоммерческой организации, уполномоченным действовать от ее имени без доверенности.</w:t>
      </w:r>
    </w:p>
    <w:p w:rsidR="000D2503" w:rsidRDefault="000D2503">
      <w:bookmarkStart w:id="1" w:name="_GoBack"/>
      <w:bookmarkEnd w:id="1"/>
    </w:p>
    <w:sectPr w:rsidR="000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7C" w:rsidRDefault="0050597C" w:rsidP="007729A8">
      <w:pPr>
        <w:spacing w:after="0" w:line="240" w:lineRule="auto"/>
      </w:pPr>
      <w:r>
        <w:separator/>
      </w:r>
    </w:p>
  </w:endnote>
  <w:endnote w:type="continuationSeparator" w:id="0">
    <w:p w:rsidR="0050597C" w:rsidRDefault="0050597C" w:rsidP="0077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7C" w:rsidRDefault="0050597C" w:rsidP="007729A8">
      <w:pPr>
        <w:spacing w:after="0" w:line="240" w:lineRule="auto"/>
      </w:pPr>
      <w:r>
        <w:separator/>
      </w:r>
    </w:p>
  </w:footnote>
  <w:footnote w:type="continuationSeparator" w:id="0">
    <w:p w:rsidR="0050597C" w:rsidRDefault="0050597C" w:rsidP="007729A8">
      <w:pPr>
        <w:spacing w:after="0" w:line="240" w:lineRule="auto"/>
      </w:pPr>
      <w:r>
        <w:continuationSeparator/>
      </w:r>
    </w:p>
  </w:footnote>
  <w:footnote w:id="1">
    <w:p w:rsidR="007729A8" w:rsidRDefault="007729A8" w:rsidP="007729A8">
      <w:pPr>
        <w:pStyle w:val="a3"/>
        <w:ind w:firstLine="567"/>
        <w:jc w:val="both"/>
      </w:pPr>
      <w:r>
        <w:rPr>
          <w:rStyle w:val="a5"/>
        </w:rPr>
        <w:t>1</w:t>
      </w:r>
      <w:r>
        <w:t xml:space="preserve"> В </w:t>
      </w:r>
      <w:proofErr w:type="gramStart"/>
      <w:r>
        <w:t>случае</w:t>
      </w:r>
      <w:proofErr w:type="gramEnd"/>
      <w:r>
        <w:t xml:space="preserve">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</w:footnote>
  <w:footnote w:id="2">
    <w:p w:rsidR="007729A8" w:rsidRDefault="007729A8" w:rsidP="007729A8">
      <w:pPr>
        <w:pStyle w:val="a3"/>
        <w:ind w:firstLine="567"/>
        <w:jc w:val="both"/>
      </w:pPr>
      <w:r>
        <w:rPr>
          <w:rStyle w:val="a5"/>
        </w:rPr>
        <w:t>2</w:t>
      </w:r>
      <w:r>
        <w:t xml:space="preserve"> Далее </w:t>
      </w:r>
      <w:r>
        <w:sym w:font="Symbol" w:char="F02D"/>
      </w:r>
      <w:r>
        <w:t xml:space="preserve"> конкурсная заявка.</w:t>
      </w:r>
    </w:p>
  </w:footnote>
  <w:footnote w:id="3">
    <w:p w:rsidR="007729A8" w:rsidRDefault="007729A8" w:rsidP="007729A8">
      <w:pPr>
        <w:pStyle w:val="a3"/>
        <w:ind w:firstLine="567"/>
        <w:jc w:val="both"/>
      </w:pPr>
      <w:r>
        <w:rPr>
          <w:rStyle w:val="a5"/>
        </w:rPr>
        <w:t>3</w:t>
      </w:r>
      <w:r>
        <w:t> Сведения о значениях показателей для оценки конкурсной заявки оформляются в соответствии с приложением.</w:t>
      </w:r>
    </w:p>
  </w:footnote>
  <w:footnote w:id="4">
    <w:p w:rsidR="007729A8" w:rsidRDefault="007729A8" w:rsidP="007729A8">
      <w:pPr>
        <w:pStyle w:val="a3"/>
        <w:ind w:firstLine="567"/>
        <w:jc w:val="both"/>
      </w:pPr>
      <w:r>
        <w:rPr>
          <w:rStyle w:val="a5"/>
        </w:rPr>
        <w:t>4</w:t>
      </w:r>
      <w:r>
        <w:t> В презентации раскрываются примеры практики развития гражданской активности в муниципальном образовании и обеспечения эффективной «обратной связи» органов местного самоуправления с жителями.</w:t>
      </w:r>
    </w:p>
  </w:footnote>
  <w:footnote w:id="5">
    <w:p w:rsidR="007729A8" w:rsidRPr="00572D9E" w:rsidRDefault="007729A8" w:rsidP="007729A8">
      <w:pPr>
        <w:autoSpaceDE w:val="0"/>
        <w:autoSpaceDN w:val="0"/>
        <w:ind w:firstLine="567"/>
        <w:jc w:val="both"/>
        <w:rPr>
          <w:rFonts w:eastAsia="SimSun"/>
          <w:sz w:val="20"/>
          <w:szCs w:val="20"/>
          <w:lang w:eastAsia="zh-CN"/>
        </w:rPr>
      </w:pPr>
      <w:r w:rsidRPr="00572D9E">
        <w:rPr>
          <w:rFonts w:eastAsia="SimSun"/>
          <w:sz w:val="20"/>
          <w:szCs w:val="20"/>
          <w:vertAlign w:val="superscript"/>
          <w:lang w:eastAsia="zh-CN"/>
        </w:rPr>
        <w:t>5</w:t>
      </w:r>
      <w:r w:rsidRPr="00572D9E">
        <w:rPr>
          <w:rFonts w:eastAsia="SimSun"/>
          <w:sz w:val="20"/>
          <w:szCs w:val="20"/>
          <w:lang w:eastAsia="zh-CN"/>
        </w:rPr>
        <w:t> Высшим должностным лицом (руководителем высшего исполнительного органа государственной власти) субъекта Российской Федерации визируется конкурсная заявка, представляемая по результатам регионального этапа конкурса в федеральную конкурсную комиссию по организации и проведению Всероссийского конкурса</w:t>
      </w:r>
      <w:r>
        <w:rPr>
          <w:rFonts w:eastAsia="SimSun"/>
          <w:sz w:val="20"/>
          <w:szCs w:val="20"/>
          <w:lang w:eastAsia="zh-CN"/>
        </w:rPr>
        <w:t xml:space="preserve"> «Лучшая муниципальная практика»</w:t>
      </w:r>
      <w:r w:rsidRPr="00572D9E">
        <w:rPr>
          <w:rFonts w:eastAsia="SimSun"/>
          <w:sz w:val="20"/>
          <w:szCs w:val="20"/>
          <w:lang w:eastAsia="zh-CN"/>
        </w:rPr>
        <w:t xml:space="preserve"> (далее </w:t>
      </w:r>
      <w:r w:rsidRPr="00572D9E">
        <w:rPr>
          <w:rFonts w:eastAsia="SimSun"/>
          <w:sz w:val="20"/>
          <w:szCs w:val="20"/>
          <w:lang w:eastAsia="zh-CN"/>
        </w:rPr>
        <w:sym w:font="Symbol" w:char="F02D"/>
      </w:r>
      <w:r w:rsidRPr="00572D9E">
        <w:rPr>
          <w:rFonts w:eastAsia="SimSun"/>
          <w:sz w:val="20"/>
          <w:szCs w:val="20"/>
          <w:lang w:eastAsia="zh-CN"/>
        </w:rPr>
        <w:t xml:space="preserve"> Комиссия).</w:t>
      </w:r>
    </w:p>
    <w:p w:rsidR="007729A8" w:rsidRDefault="007729A8" w:rsidP="007729A8">
      <w:pPr>
        <w:pStyle w:val="a3"/>
        <w:ind w:firstLine="567"/>
        <w:jc w:val="both"/>
      </w:pPr>
      <w:proofErr w:type="gramStart"/>
      <w:r>
        <w:t>В случае если конкурсная заявка направляется в Комиссию Ассоциацией «Единое общероссийское объединение муниципальных образований (Конгресс)» или Общероссийской общественной организацией «Всероссийский Совет местного самоуправления» в порядке, предусмотренном пунктом 8 Положения о Всероссийском конкурсе «Лучшая муниципальная практика», утвержденного постановлением Правительства Российской Федерации от 18 августа 2016 № 815, конкурсная заявка визируется должностным лицом указанной некоммерческой организации, уполномоченным действовать от ее имени без доверенности.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8"/>
    <w:rsid w:val="000451B4"/>
    <w:rsid w:val="00090E2C"/>
    <w:rsid w:val="000D2503"/>
    <w:rsid w:val="0050597C"/>
    <w:rsid w:val="007729A8"/>
    <w:rsid w:val="009F42D0"/>
    <w:rsid w:val="00A807D0"/>
    <w:rsid w:val="00CB436B"/>
    <w:rsid w:val="00D9767C"/>
    <w:rsid w:val="00DF468D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9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9A8"/>
    <w:rPr>
      <w:sz w:val="20"/>
      <w:szCs w:val="20"/>
    </w:rPr>
  </w:style>
  <w:style w:type="character" w:styleId="a5">
    <w:name w:val="footnote reference"/>
    <w:uiPriority w:val="99"/>
    <w:rsid w:val="007729A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9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9A8"/>
    <w:rPr>
      <w:sz w:val="20"/>
      <w:szCs w:val="20"/>
    </w:rPr>
  </w:style>
  <w:style w:type="character" w:styleId="a5">
    <w:name w:val="footnote reference"/>
    <w:uiPriority w:val="99"/>
    <w:rsid w:val="007729A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B2ABF95F82954265233A01AC63B9F794D0972A22E865FDC3AE9F6E3FC9FCEDE74D68E2ED435A970CD26160F044B9303F51B1A51415363A61e04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2019-05-06T22:39:00Z</dcterms:created>
  <dcterms:modified xsi:type="dcterms:W3CDTF">2019-05-06T22:40:00Z</dcterms:modified>
</cp:coreProperties>
</file>